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644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0067-01-2026-003426-68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4</w:t>
      </w:r>
      <w:r>
        <w:rPr>
          <w:rFonts w:ascii="Times New Roman" w:eastAsia="Times New Roman" w:hAnsi="Times New Roman" w:cs="Times New Roman"/>
        </w:rPr>
        <w:t xml:space="preserve"> ст.15.33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олжностн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лицо – </w:t>
      </w:r>
      <w:r>
        <w:rPr>
          <w:rFonts w:ascii="Times New Roman" w:eastAsia="Times New Roman" w:hAnsi="Times New Roman" w:cs="Times New Roman"/>
        </w:rPr>
        <w:t>директор ООО «АВТОИНЛАЙН СУРГУТ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нарушил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направив</w:t>
      </w:r>
      <w:r>
        <w:rPr>
          <w:rFonts w:ascii="Times New Roman" w:eastAsia="Times New Roman" w:hAnsi="Times New Roman" w:cs="Times New Roman"/>
        </w:rPr>
        <w:t xml:space="preserve"> ответ на запрос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течение трех дней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Fonts w:ascii="Times New Roman" w:eastAsia="Times New Roman" w:hAnsi="Times New Roman" w:cs="Times New Roman"/>
        </w:rPr>
        <w:t>09.10</w:t>
      </w:r>
      <w:r>
        <w:rPr>
          <w:rFonts w:ascii="Times New Roman" w:eastAsia="Times New Roman" w:hAnsi="Times New Roman" w:cs="Times New Roman"/>
        </w:rPr>
        <w:t>.2025 включительно</w:t>
      </w:r>
      <w:r>
        <w:rPr>
          <w:rFonts w:ascii="Times New Roman" w:eastAsia="Times New Roman" w:hAnsi="Times New Roman" w:cs="Times New Roman"/>
        </w:rPr>
        <w:t>, ответ был направлен 15.10.2025 г.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</w:rPr>
        <w:t>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1377342 от 2</w:t>
      </w:r>
      <w:r>
        <w:rPr>
          <w:rFonts w:ascii="Times New Roman" w:eastAsia="Times New Roman" w:hAnsi="Times New Roman" w:cs="Times New Roman"/>
        </w:rPr>
        <w:t>4.04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ЕГРЮЛ;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процесса № 363913741;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-скриншотом программного обеспечения, подтверждаю</w:t>
      </w:r>
      <w:r>
        <w:rPr>
          <w:rFonts w:ascii="Times New Roman" w:eastAsia="Times New Roman" w:hAnsi="Times New Roman" w:cs="Times New Roman"/>
        </w:rPr>
        <w:t>щего дату поступления сведений.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</w:t>
      </w:r>
      <w:r>
        <w:rPr>
          <w:rFonts w:ascii="Times New Roman" w:eastAsia="Times New Roman" w:hAnsi="Times New Roman" w:cs="Times New Roman"/>
        </w:rPr>
        <w:t>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В силу ст. 26.18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</w:t>
      </w:r>
      <w:r>
        <w:rPr>
          <w:rFonts w:ascii="Times New Roman" w:eastAsia="Times New Roman" w:hAnsi="Times New Roman" w:cs="Times New Roman"/>
        </w:rPr>
        <w:t xml:space="preserve">о закона от 24.07.1998 №125-ФЗ </w:t>
      </w:r>
      <w:r>
        <w:rPr>
          <w:rFonts w:ascii="Times New Roman" w:eastAsia="Times New Roman" w:hAnsi="Times New Roman" w:cs="Times New Roman"/>
        </w:rPr>
        <w:t>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не имеется.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</w:rPr>
        <w:t>сти и в связи с материнством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29.9 - 29.11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>Банк 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Номер 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получателя платежа (номер казначейского счета, Р/счет): 03100643000000018700, Номер счета банка получателя (номер банковского счета, входящего в состав единого казначейского счета , Кор/счет) – 40102810245370000007; БИК ТОФК: 007162163; Получатель: УФК по Ханты-Мансийскому АО-Югре (ОСФР по ХМАО-Югре, л/с 04874Ф87010), ИНН 8601002078, КПП 860101001, ОКТМО 71871000, КБК 79711601230060002140, УИН </w:t>
      </w:r>
      <w:r>
        <w:rPr>
          <w:rFonts w:ascii="Times New Roman" w:eastAsia="Times New Roman" w:hAnsi="Times New Roman" w:cs="Times New Roman"/>
        </w:rPr>
        <w:t>79786002404260147264</w:t>
      </w:r>
      <w:r>
        <w:rPr>
          <w:rFonts w:ascii="Times New Roman" w:eastAsia="Times New Roman" w:hAnsi="Times New Roman" w:cs="Times New Roman"/>
        </w:rPr>
        <w:t xml:space="preserve">, Назначение платежа – Денежные взыскания (административные штрафы), установленные главой 15 КоАП РФ, предусмотренные за нарушение ч. 4 ст. 15.33 КоАП.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</w:t>
      </w:r>
      <w:r>
        <w:rPr>
          <w:rFonts w:ascii="Times New Roman" w:eastAsia="Times New Roman" w:hAnsi="Times New Roman" w:cs="Times New Roman"/>
        </w:rPr>
        <w:t>дья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 xml:space="preserve">окумент </w:t>
      </w:r>
      <w:r>
        <w:rPr>
          <w:rFonts w:ascii="Times New Roman" w:eastAsia="Times New Roman" w:hAnsi="Times New Roman" w:cs="Times New Roman"/>
        </w:rPr>
        <w:t>находит</w:t>
      </w:r>
      <w:r>
        <w:rPr>
          <w:rFonts w:ascii="Times New Roman" w:eastAsia="Times New Roman" w:hAnsi="Times New Roman" w:cs="Times New Roman"/>
        </w:rPr>
        <w:t xml:space="preserve">ся 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644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